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CC892" w14:textId="77777777" w:rsidR="006600DE" w:rsidRDefault="00000000">
      <w:pPr>
        <w:spacing w:line="200" w:lineRule="atLeast"/>
        <w:jc w:val="both"/>
      </w:pPr>
      <w:r>
        <w:rPr>
          <w:rFonts w:ascii="Verdana" w:hAnsi="Verdana"/>
          <w:b/>
          <w:bCs/>
        </w:rPr>
        <w:t>Martin von Arndt</w:t>
      </w:r>
    </w:p>
    <w:p w14:paraId="7D677DD9" w14:textId="5F620564" w:rsidR="006600DE" w:rsidRDefault="007D6615">
      <w:pPr>
        <w:spacing w:line="200" w:lineRule="atLeast"/>
        <w:jc w:val="both"/>
        <w:rPr>
          <w:b/>
          <w:bCs/>
        </w:rPr>
      </w:pPr>
      <w:r w:rsidRPr="007D6615">
        <w:rPr>
          <w:rFonts w:ascii="Verdana" w:hAnsi="Verdana"/>
          <w:b/>
          <w:bCs/>
        </w:rPr>
        <w:t>Der Wortschatz des Todes</w:t>
      </w:r>
    </w:p>
    <w:p w14:paraId="0653F4EE" w14:textId="77777777" w:rsidR="006600DE" w:rsidRDefault="00000000">
      <w:pPr>
        <w:spacing w:line="200" w:lineRule="atLeast"/>
        <w:jc w:val="both"/>
      </w:pPr>
      <w:r>
        <w:rPr>
          <w:rFonts w:ascii="Verdana" w:hAnsi="Verdana"/>
        </w:rPr>
        <w:t>Roman / Politthriller</w:t>
      </w:r>
    </w:p>
    <w:p w14:paraId="5DE8151E" w14:textId="77777777" w:rsidR="006600DE" w:rsidRDefault="006600DE">
      <w:pPr>
        <w:spacing w:line="200" w:lineRule="atLeast"/>
        <w:jc w:val="both"/>
      </w:pPr>
    </w:p>
    <w:p w14:paraId="24613798" w14:textId="77777777" w:rsidR="007D6615" w:rsidRDefault="007D6615" w:rsidP="007D6615">
      <w:pPr>
        <w:spacing w:line="200" w:lineRule="atLeast"/>
        <w:rPr>
          <w:rFonts w:ascii="Verdana" w:hAnsi="Verdana"/>
        </w:rPr>
      </w:pPr>
      <w:r w:rsidRPr="007D6615">
        <w:rPr>
          <w:rFonts w:ascii="Verdana" w:hAnsi="Verdana"/>
        </w:rPr>
        <w:t>Irina Starilenko, russischstämmige ehemalige BKA-Fallermittlerin, wird von ihrem Bruder Konstantin gebeten, seinem Freund Oleksandr zu helfen. Oleksandr, der vor dem russischen Angriffskrieg aus der Ukraine nach Deutschland geflohen ist, soll den Mord an einem polnischen Geschäftsmann begangen haben, ist jedoch unschuldig, da er zur Tatzeit mit Konstantin einen Brandanschlag auf ein Haus der Identitären Bewegung verübt hat. Doch Konstantin kann nicht für Oleksandr aussagen, weil sonst seine Bewährung widerrufen würde und er auf Jahre ins Gefängnis ginge. Nach kurzem Zögern sagt Irina zu, sich auf die Suche nach dem wahren Täter zu begeben, und muss bald feststellen, dass sie es mit ausgesprochen dunklen Kräften zu tun hat …</w:t>
      </w:r>
    </w:p>
    <w:p w14:paraId="15F7EC6F" w14:textId="77777777" w:rsidR="007D6615" w:rsidRPr="007D6615" w:rsidRDefault="007D6615" w:rsidP="007D6615">
      <w:pPr>
        <w:spacing w:line="200" w:lineRule="atLeast"/>
        <w:rPr>
          <w:rFonts w:ascii="Verdana" w:hAnsi="Verdana"/>
        </w:rPr>
      </w:pPr>
    </w:p>
    <w:p w14:paraId="42E62652" w14:textId="409E7685" w:rsidR="006600DE" w:rsidRDefault="007D6615" w:rsidP="007D6615">
      <w:pPr>
        <w:spacing w:line="200" w:lineRule="atLeast"/>
      </w:pPr>
      <w:r w:rsidRPr="007D6615">
        <w:rPr>
          <w:rFonts w:ascii="Verdana" w:hAnsi="Verdana"/>
        </w:rPr>
        <w:t>Ein explosiver Politkrimi um Rechtsextremismus, Mord und Putins langen Arm nach Deutschland.</w:t>
      </w:r>
    </w:p>
    <w:p w14:paraId="1258F933" w14:textId="77777777" w:rsidR="006600DE" w:rsidRDefault="006600DE">
      <w:pPr>
        <w:spacing w:line="200" w:lineRule="atLeast"/>
        <w:jc w:val="both"/>
        <w:rPr>
          <w:rFonts w:ascii="Verdana" w:hAnsi="Verdana"/>
        </w:rPr>
      </w:pPr>
    </w:p>
    <w:p w14:paraId="7A5CD218" w14:textId="024B6855" w:rsidR="006600DE" w:rsidRDefault="00000000">
      <w:pPr>
        <w:spacing w:line="200" w:lineRule="atLeast"/>
        <w:jc w:val="both"/>
      </w:pPr>
      <w:r>
        <w:rPr>
          <w:rFonts w:ascii="Verdana" w:hAnsi="Verdana"/>
        </w:rPr>
        <w:t>(</w:t>
      </w:r>
      <w:r w:rsidR="007D6615">
        <w:rPr>
          <w:rFonts w:ascii="Verdana" w:hAnsi="Verdana"/>
        </w:rPr>
        <w:t>825</w:t>
      </w:r>
      <w:r>
        <w:rPr>
          <w:rFonts w:ascii="Verdana" w:hAnsi="Verdana"/>
        </w:rPr>
        <w:t xml:space="preserve"> Zeichen)</w:t>
      </w:r>
    </w:p>
    <w:p w14:paraId="55F4E83D" w14:textId="77777777" w:rsidR="006600DE" w:rsidRDefault="006600DE">
      <w:pPr>
        <w:spacing w:line="200" w:lineRule="atLeast"/>
        <w:jc w:val="both"/>
      </w:pPr>
    </w:p>
    <w:p w14:paraId="2F7E6060" w14:textId="77777777" w:rsidR="006600DE" w:rsidRDefault="006600DE">
      <w:pPr>
        <w:spacing w:line="200" w:lineRule="atLeast"/>
        <w:jc w:val="both"/>
      </w:pPr>
    </w:p>
    <w:p w14:paraId="1E441227" w14:textId="77777777" w:rsidR="006600DE" w:rsidRDefault="006600DE">
      <w:pPr>
        <w:spacing w:line="200" w:lineRule="atLeast"/>
        <w:jc w:val="both"/>
      </w:pPr>
    </w:p>
    <w:p w14:paraId="34791C63" w14:textId="77777777" w:rsidR="006600DE" w:rsidRDefault="00000000">
      <w:pPr>
        <w:spacing w:line="200" w:lineRule="atLeast"/>
        <w:jc w:val="both"/>
      </w:pPr>
      <w:r>
        <w:rPr>
          <w:rFonts w:ascii="Verdana" w:hAnsi="Verdana"/>
          <w:b/>
        </w:rPr>
        <w:t>Verlagsinformationen:</w:t>
      </w:r>
    </w:p>
    <w:p w14:paraId="2542E0FA" w14:textId="77777777" w:rsidR="006600DE" w:rsidRDefault="006600DE">
      <w:pPr>
        <w:spacing w:line="200" w:lineRule="atLeast"/>
        <w:jc w:val="both"/>
      </w:pPr>
    </w:p>
    <w:p w14:paraId="11BD9696" w14:textId="78DE2391" w:rsidR="006600DE" w:rsidRDefault="00000000">
      <w:pPr>
        <w:spacing w:line="200" w:lineRule="atLeast"/>
        <w:jc w:val="both"/>
      </w:pPr>
      <w:r>
        <w:rPr>
          <w:rFonts w:ascii="Verdana" w:hAnsi="Verdana"/>
        </w:rPr>
        <w:t>ars vivendi Cadolzburg 202</w:t>
      </w:r>
      <w:r w:rsidR="003666CF">
        <w:rPr>
          <w:rFonts w:ascii="Verdana" w:hAnsi="Verdana"/>
        </w:rPr>
        <w:t>5</w:t>
      </w:r>
    </w:p>
    <w:p w14:paraId="5E49E821" w14:textId="77777777" w:rsidR="00B32212" w:rsidRDefault="00000000" w:rsidP="000C155D">
      <w:pPr>
        <w:widowControl/>
        <w:suppressAutoHyphens w:val="0"/>
        <w:autoSpaceDE w:val="0"/>
        <w:autoSpaceDN w:val="0"/>
        <w:adjustRightInd w:val="0"/>
        <w:rPr>
          <w:rFonts w:ascii="Verdana" w:hAnsi="Verdana"/>
        </w:rPr>
      </w:pPr>
      <w:r>
        <w:rPr>
          <w:rFonts w:ascii="Verdana" w:hAnsi="Verdana"/>
          <w:i/>
          <w:iCs/>
        </w:rPr>
        <w:t>Gebundene Ausgabe:</w:t>
      </w:r>
      <w:r>
        <w:rPr>
          <w:rFonts w:ascii="Verdana" w:hAnsi="Verdana"/>
        </w:rPr>
        <w:t xml:space="preserve"> Eur 1</w:t>
      </w:r>
      <w:r w:rsidR="00B32212">
        <w:rPr>
          <w:rFonts w:ascii="Verdana" w:hAnsi="Verdana"/>
        </w:rPr>
        <w:t>8</w:t>
      </w:r>
      <w:r>
        <w:rPr>
          <w:rFonts w:ascii="Verdana" w:hAnsi="Verdana"/>
        </w:rPr>
        <w:t>.00</w:t>
      </w:r>
      <w:r w:rsidR="00B32212">
        <w:rPr>
          <w:rFonts w:ascii="Verdana" w:hAnsi="Verdana"/>
        </w:rPr>
        <w:t xml:space="preserve"> (D) Eur 18.90 (A)</w:t>
      </w:r>
    </w:p>
    <w:p w14:paraId="3146C213" w14:textId="02219B27" w:rsidR="006600DE" w:rsidRDefault="000C155D" w:rsidP="000C155D">
      <w:pPr>
        <w:widowControl/>
        <w:suppressAutoHyphens w:val="0"/>
        <w:autoSpaceDE w:val="0"/>
        <w:autoSpaceDN w:val="0"/>
        <w:adjustRightInd w:val="0"/>
      </w:pPr>
      <w:r w:rsidRPr="000C155D">
        <w:rPr>
          <w:rFonts w:ascii="Verdana" w:hAnsi="Verdana"/>
        </w:rPr>
        <w:t>ISBN 978-3-7472-0712-3</w:t>
      </w:r>
      <w:r>
        <w:rPr>
          <w:rFonts w:ascii="Verdana" w:hAnsi="Verdana"/>
        </w:rPr>
        <w:t xml:space="preserve"> </w:t>
      </w:r>
      <w:r w:rsidR="00000000">
        <w:rPr>
          <w:rFonts w:ascii="Verdana" w:hAnsi="Verdana"/>
        </w:rPr>
        <w:t xml:space="preserve">| </w:t>
      </w:r>
      <w:r>
        <w:rPr>
          <w:rFonts w:ascii="Verdana" w:hAnsi="Verdana"/>
        </w:rPr>
        <w:t>25</w:t>
      </w:r>
      <w:r w:rsidR="00000000">
        <w:rPr>
          <w:rFonts w:ascii="Verdana" w:hAnsi="Verdana"/>
        </w:rPr>
        <w:t>0 Seiten</w:t>
      </w:r>
    </w:p>
    <w:p w14:paraId="0290149E" w14:textId="77777777" w:rsidR="006600DE" w:rsidRDefault="006600DE">
      <w:pPr>
        <w:spacing w:line="200" w:lineRule="atLeast"/>
        <w:jc w:val="both"/>
        <w:rPr>
          <w:rFonts w:ascii="Verdana" w:hAnsi="Verdana"/>
        </w:rPr>
      </w:pPr>
    </w:p>
    <w:p w14:paraId="6C73B056" w14:textId="77777777" w:rsidR="006600DE" w:rsidRDefault="00000000">
      <w:pPr>
        <w:spacing w:line="200" w:lineRule="atLeast"/>
        <w:jc w:val="both"/>
        <w:rPr>
          <w:i/>
          <w:iCs/>
        </w:rPr>
      </w:pPr>
      <w:r>
        <w:rPr>
          <w:rFonts w:ascii="Verdana" w:hAnsi="Verdana"/>
          <w:i/>
          <w:iCs/>
        </w:rPr>
        <w:t>Medienkontakt:</w:t>
      </w:r>
    </w:p>
    <w:p w14:paraId="2D40C344" w14:textId="77777777" w:rsidR="006600DE" w:rsidRDefault="006600DE">
      <w:pPr>
        <w:spacing w:line="200" w:lineRule="atLeast"/>
        <w:jc w:val="both"/>
        <w:rPr>
          <w:rFonts w:ascii="Verdana" w:hAnsi="Verdana"/>
        </w:rPr>
      </w:pPr>
    </w:p>
    <w:p w14:paraId="288FC106" w14:textId="6C63CCD6" w:rsidR="006600DE" w:rsidRPr="00370919" w:rsidRDefault="003666CF">
      <w:pPr>
        <w:spacing w:line="200" w:lineRule="atLeast"/>
        <w:jc w:val="both"/>
        <w:rPr>
          <w:rFonts w:ascii="Verdana" w:hAnsi="Verdana"/>
        </w:rPr>
      </w:pPr>
      <w:r>
        <w:rPr>
          <w:rFonts w:ascii="Verdana" w:hAnsi="Verdana"/>
        </w:rPr>
        <w:t>Nina Kupfer</w:t>
      </w:r>
      <w:r w:rsidR="00000000">
        <w:rPr>
          <w:rFonts w:ascii="Verdana" w:hAnsi="Verdana"/>
        </w:rPr>
        <w:t xml:space="preserve">: </w:t>
      </w:r>
      <w:r w:rsidR="00370919" w:rsidRPr="00370919">
        <w:rPr>
          <w:rFonts w:ascii="Verdana" w:hAnsi="Verdana"/>
        </w:rPr>
        <w:t>09103 / 71929 - 99</w:t>
      </w:r>
    </w:p>
    <w:p w14:paraId="5B624350" w14:textId="4BB62494" w:rsidR="006600DE" w:rsidRDefault="00370919">
      <w:pPr>
        <w:spacing w:line="200" w:lineRule="atLeast"/>
        <w:jc w:val="both"/>
        <w:rPr>
          <w:rFonts w:ascii="Verdana" w:hAnsi="Verdana"/>
        </w:rPr>
      </w:pPr>
      <w:r w:rsidRPr="00370919">
        <w:rPr>
          <w:rFonts w:ascii="Verdana" w:hAnsi="Verdana"/>
        </w:rPr>
        <w:t>n.kupfer(at)arsvivendiverlag.de</w:t>
      </w:r>
      <w:r>
        <w:br/>
      </w:r>
    </w:p>
    <w:p w14:paraId="63BD402F" w14:textId="77777777" w:rsidR="006600DE" w:rsidRDefault="00000000">
      <w:pPr>
        <w:spacing w:line="200" w:lineRule="atLeast"/>
        <w:jc w:val="both"/>
        <w:rPr>
          <w:rFonts w:ascii="Verdana" w:hAnsi="Verdana"/>
        </w:rPr>
      </w:pPr>
      <w:r>
        <w:rPr>
          <w:rFonts w:ascii="Verdana" w:hAnsi="Verdana"/>
        </w:rPr>
        <w:t>www.arsvivendi.com</w:t>
      </w:r>
    </w:p>
    <w:sectPr w:rsidR="006600DE">
      <w:headerReference w:type="default" r:id="rId6"/>
      <w:footerReference w:type="default" r:id="rId7"/>
      <w:pgSz w:w="11906" w:h="16838"/>
      <w:pgMar w:top="2210" w:right="1417" w:bottom="1867" w:left="1417" w:header="1417"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8A939" w14:textId="77777777" w:rsidR="009F4488" w:rsidRDefault="009F4488">
      <w:r>
        <w:separator/>
      </w:r>
    </w:p>
  </w:endnote>
  <w:endnote w:type="continuationSeparator" w:id="0">
    <w:p w14:paraId="44104059" w14:textId="77777777" w:rsidR="009F4488" w:rsidRDefault="009F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7547" w14:textId="77777777" w:rsidR="006600DE" w:rsidRDefault="006600DE">
    <w:pPr>
      <w:pStyle w:val="Fuzeile"/>
      <w:jc w:val="center"/>
    </w:pPr>
  </w:p>
  <w:p w14:paraId="15912C6B" w14:textId="77777777" w:rsidR="006600DE" w:rsidRDefault="00000000">
    <w:pPr>
      <w:jc w:val="center"/>
    </w:pPr>
    <w:r>
      <w:rPr>
        <w:rFonts w:ascii="Verdana" w:eastAsia="Verdana" w:hAnsi="Verdana"/>
        <w:sz w:val="18"/>
      </w:rPr>
      <w:t>Info aktuelles Buch (Textversion) / Martin von Arndt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21414" w14:textId="77777777" w:rsidR="009F4488" w:rsidRDefault="009F4488">
      <w:r>
        <w:separator/>
      </w:r>
    </w:p>
  </w:footnote>
  <w:footnote w:type="continuationSeparator" w:id="0">
    <w:p w14:paraId="121E0F77" w14:textId="77777777" w:rsidR="009F4488" w:rsidRDefault="009F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4626" w14:textId="77777777" w:rsidR="006600DE" w:rsidRDefault="00000000">
    <w:pPr>
      <w:pStyle w:val="Kopfzeile"/>
      <w:tabs>
        <w:tab w:val="left" w:pos="2835"/>
      </w:tabs>
    </w:pPr>
    <w:r>
      <w:rPr>
        <w:rFonts w:ascii="Verdana" w:eastAsia="Verdana" w:hAnsi="Verdana"/>
        <w:b/>
        <w:bCs/>
        <w:spacing w:val="12"/>
        <w:sz w:val="22"/>
      </w:rPr>
      <w:t>martin von arndt</w:t>
    </w:r>
    <w:r>
      <w:rPr>
        <w:rFonts w:ascii="Verdana" w:eastAsia="Verdana" w:hAnsi="Verdana"/>
        <w:b/>
        <w:bCs/>
        <w:spacing w:val="12"/>
        <w:sz w:val="22"/>
      </w:rPr>
      <w:tab/>
    </w:r>
    <w:r>
      <w:rPr>
        <w:rFonts w:ascii="Verdana" w:eastAsia="Verdana" w:hAnsi="Verdana"/>
        <w:b/>
        <w:bCs/>
        <w:spacing w:val="12"/>
        <w:sz w:val="22"/>
      </w:rPr>
      <w:tab/>
    </w:r>
    <w:r>
      <w:rPr>
        <w:rFonts w:ascii="Verdana" w:eastAsia="Verdana" w:hAnsi="Verdana"/>
        <w:b/>
        <w:bCs/>
        <w:spacing w:val="12"/>
        <w:sz w:val="22"/>
      </w:rPr>
      <w:tab/>
    </w:r>
    <w:r>
      <w:rPr>
        <w:rFonts w:ascii="Verdana" w:eastAsia="Verdana" w:hAnsi="Verdana"/>
        <w:b/>
        <w:bCs/>
        <w:sz w:val="22"/>
      </w:rPr>
      <w:t>www.vonarndt.de</w:t>
    </w:r>
  </w:p>
  <w:p w14:paraId="1B541478" w14:textId="77777777" w:rsidR="006600DE" w:rsidRDefault="006600D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00DE"/>
    <w:rsid w:val="000C155D"/>
    <w:rsid w:val="000F1DBD"/>
    <w:rsid w:val="003666CF"/>
    <w:rsid w:val="00370919"/>
    <w:rsid w:val="006600DE"/>
    <w:rsid w:val="007D6615"/>
    <w:rsid w:val="0081364E"/>
    <w:rsid w:val="009F4488"/>
    <w:rsid w:val="00B322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C58F"/>
  <w15:docId w15:val="{E28D1073-400B-4718-8B8B-ABF01C00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Mangal"/>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eastAsia="Times New Roman" w:cs="Times New Roman"/>
      <w:lang w:eastAsia="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sz w:val="28"/>
      <w:lang w:eastAsia="de-DE"/>
    </w:rPr>
  </w:style>
  <w:style w:type="paragraph" w:styleId="Textkrper">
    <w:name w:val="Body Text"/>
    <w:basedOn w:val="Standard"/>
    <w:pPr>
      <w:spacing w:after="120"/>
    </w:pPr>
    <w:rPr>
      <w:lang w:eastAsia="de-DE"/>
    </w:rPr>
  </w:style>
  <w:style w:type="paragraph" w:styleId="Liste">
    <w:name w:val="List"/>
    <w:basedOn w:val="Textkrper"/>
    <w:qFormat/>
  </w:style>
  <w:style w:type="paragraph" w:styleId="Beschriftung">
    <w:name w:val="caption"/>
    <w:basedOn w:val="Standard"/>
    <w:qFormat/>
    <w:pPr>
      <w:spacing w:before="120" w:after="120"/>
    </w:pPr>
    <w:rPr>
      <w:i/>
      <w:iCs/>
      <w:lang w:eastAsia="de-DE"/>
    </w:rPr>
  </w:style>
  <w:style w:type="paragraph" w:customStyle="1" w:styleId="Verzeichnis">
    <w:name w:val="Verzeichnis"/>
    <w:basedOn w:val="Standard"/>
    <w:qFormat/>
    <w:rPr>
      <w:lang w:eastAsia="de-DE"/>
    </w:rPr>
  </w:style>
  <w:style w:type="paragraph" w:customStyle="1" w:styleId="berschrift0">
    <w:name w:val="?berschrift"/>
    <w:basedOn w:val="Standard"/>
    <w:qFormat/>
    <w:pPr>
      <w:keepNext/>
      <w:spacing w:before="240" w:after="120"/>
    </w:pPr>
    <w:rPr>
      <w:rFonts w:eastAsia="Mangal"/>
      <w:sz w:val="28"/>
      <w:lang w:eastAsia="de-DE"/>
    </w:rPr>
  </w:style>
  <w:style w:type="paragraph" w:customStyle="1" w:styleId="WW-berschrift">
    <w:name w:val="WW-?berschrift"/>
    <w:basedOn w:val="Standard"/>
    <w:qFormat/>
    <w:pPr>
      <w:keepNext/>
      <w:spacing w:before="240" w:after="120"/>
    </w:pPr>
    <w:rPr>
      <w:rFonts w:eastAsia="Microsoft YaHei"/>
      <w:sz w:val="28"/>
      <w:lang w:eastAsia="de-DE"/>
    </w:rPr>
  </w:style>
  <w:style w:type="paragraph" w:customStyle="1" w:styleId="WW-berschrift1">
    <w:name w:val="WW-?berschrift1"/>
    <w:basedOn w:val="Standard"/>
    <w:qFormat/>
    <w:pPr>
      <w:keepNext/>
      <w:spacing w:before="240" w:after="120"/>
    </w:pPr>
    <w:rPr>
      <w:rFonts w:eastAsia="Mangal"/>
      <w:sz w:val="28"/>
      <w:lang w:eastAsia="de-DE"/>
    </w:rPr>
  </w:style>
  <w:style w:type="paragraph" w:customStyle="1" w:styleId="WW-berschrift11">
    <w:name w:val="WW-?berschrift11"/>
    <w:basedOn w:val="Standard"/>
    <w:qFormat/>
    <w:pPr>
      <w:keepNext/>
      <w:spacing w:before="240" w:after="120"/>
    </w:pPr>
    <w:rPr>
      <w:rFonts w:eastAsia="Microsoft YaHei"/>
      <w:sz w:val="28"/>
      <w:lang w:eastAsia="de-DE"/>
    </w:rPr>
  </w:style>
  <w:style w:type="paragraph" w:customStyle="1" w:styleId="WW-berschrift111">
    <w:name w:val="WW-?berschrift111"/>
    <w:basedOn w:val="Standard"/>
    <w:qFormat/>
    <w:pPr>
      <w:keepNext/>
      <w:spacing w:before="240" w:after="120"/>
    </w:pPr>
    <w:rPr>
      <w:rFonts w:eastAsia="Mangal"/>
      <w:sz w:val="28"/>
      <w:lang w:eastAsia="de-DE"/>
    </w:rPr>
  </w:style>
  <w:style w:type="paragraph" w:customStyle="1" w:styleId="WW-berschrift1111">
    <w:name w:val="WW-?berschrift1111"/>
    <w:basedOn w:val="Standard"/>
    <w:qFormat/>
    <w:pPr>
      <w:keepNext/>
      <w:spacing w:before="240" w:after="120"/>
    </w:pPr>
    <w:rPr>
      <w:rFonts w:eastAsia="Microsoft YaHei"/>
      <w:sz w:val="28"/>
      <w:lang w:eastAsia="de-DE"/>
    </w:rPr>
  </w:style>
  <w:style w:type="paragraph" w:customStyle="1" w:styleId="WW-berschrift11111">
    <w:name w:val="WW-?berschrift11111"/>
    <w:basedOn w:val="Standard"/>
    <w:qFormat/>
    <w:pPr>
      <w:keepNext/>
      <w:spacing w:before="240" w:after="120"/>
    </w:pPr>
    <w:rPr>
      <w:rFonts w:eastAsia="Mangal"/>
      <w:sz w:val="28"/>
      <w:lang w:eastAsia="de-DE"/>
    </w:rPr>
  </w:style>
  <w:style w:type="paragraph" w:customStyle="1" w:styleId="WW-Heading">
    <w:name w:val="WW-Heading"/>
    <w:basedOn w:val="Standard"/>
    <w:qFormat/>
    <w:pPr>
      <w:keepNext/>
      <w:spacing w:before="240" w:after="120"/>
    </w:pPr>
    <w:rPr>
      <w:sz w:val="28"/>
      <w:lang w:eastAsia="de-DE"/>
    </w:rPr>
  </w:style>
  <w:style w:type="paragraph" w:customStyle="1" w:styleId="WW-caption">
    <w:name w:val="WW-caption"/>
    <w:basedOn w:val="Standard"/>
    <w:qFormat/>
    <w:pPr>
      <w:spacing w:before="120" w:after="120"/>
    </w:pPr>
    <w:rPr>
      <w:i/>
      <w:iCs/>
      <w:lang w:eastAsia="de-DE"/>
    </w:rPr>
  </w:style>
  <w:style w:type="paragraph" w:customStyle="1" w:styleId="WW-Index">
    <w:name w:val="WW-Index"/>
    <w:basedOn w:val="Standard"/>
    <w:qFormat/>
    <w:rPr>
      <w:lang w:eastAsia="de-DE"/>
    </w:rPr>
  </w:style>
  <w:style w:type="paragraph" w:customStyle="1" w:styleId="WW-Heading1">
    <w:name w:val="WW-Heading1"/>
    <w:basedOn w:val="Standard"/>
    <w:qFormat/>
    <w:pPr>
      <w:keepNext/>
      <w:spacing w:before="240" w:after="120"/>
    </w:pPr>
    <w:rPr>
      <w:sz w:val="28"/>
      <w:lang w:eastAsia="de-DE"/>
    </w:rPr>
  </w:style>
  <w:style w:type="paragraph" w:customStyle="1" w:styleId="WW-caption1">
    <w:name w:val="WW-caption1"/>
    <w:basedOn w:val="Standard"/>
    <w:qFormat/>
    <w:pPr>
      <w:spacing w:before="120" w:after="120"/>
    </w:pPr>
    <w:rPr>
      <w:i/>
      <w:iCs/>
      <w:lang w:eastAsia="de-DE"/>
    </w:rPr>
  </w:style>
  <w:style w:type="paragraph" w:customStyle="1" w:styleId="WW-Index1">
    <w:name w:val="WW-Index1"/>
    <w:basedOn w:val="Standard"/>
    <w:qFormat/>
    <w:rPr>
      <w:lang w:eastAsia="de-DE"/>
    </w:rPr>
  </w:style>
  <w:style w:type="paragraph" w:customStyle="1" w:styleId="WW-Heading11">
    <w:name w:val="WW-Heading11"/>
    <w:basedOn w:val="Standard"/>
    <w:qFormat/>
    <w:pPr>
      <w:keepNext/>
      <w:spacing w:before="240" w:after="120"/>
    </w:pPr>
    <w:rPr>
      <w:sz w:val="28"/>
      <w:lang w:eastAsia="de-DE"/>
    </w:rPr>
  </w:style>
  <w:style w:type="paragraph" w:customStyle="1" w:styleId="WW-caption11">
    <w:name w:val="WW-caption11"/>
    <w:basedOn w:val="Standard"/>
    <w:qFormat/>
    <w:pPr>
      <w:spacing w:before="120" w:after="120"/>
    </w:pPr>
    <w:rPr>
      <w:i/>
      <w:iCs/>
      <w:lang w:eastAsia="de-DE"/>
    </w:rPr>
  </w:style>
  <w:style w:type="paragraph" w:customStyle="1" w:styleId="WW-Index11">
    <w:name w:val="WW-Index11"/>
    <w:basedOn w:val="Standard"/>
    <w:qFormat/>
    <w:rPr>
      <w:lang w:eastAsia="de-DE"/>
    </w:rPr>
  </w:style>
  <w:style w:type="paragraph" w:customStyle="1" w:styleId="WW-Heading111">
    <w:name w:val="WW-Heading111"/>
    <w:basedOn w:val="Standard"/>
    <w:qFormat/>
    <w:pPr>
      <w:keepNext/>
      <w:spacing w:before="240" w:after="120"/>
    </w:pPr>
    <w:rPr>
      <w:sz w:val="28"/>
      <w:lang w:eastAsia="de-DE"/>
    </w:rPr>
  </w:style>
  <w:style w:type="paragraph" w:customStyle="1" w:styleId="WW-caption111">
    <w:name w:val="WW-caption111"/>
    <w:basedOn w:val="Standard"/>
    <w:qFormat/>
    <w:pPr>
      <w:spacing w:before="120" w:after="120"/>
    </w:pPr>
    <w:rPr>
      <w:i/>
      <w:iCs/>
      <w:lang w:eastAsia="de-DE"/>
    </w:rPr>
  </w:style>
  <w:style w:type="paragraph" w:customStyle="1" w:styleId="WW-Index111">
    <w:name w:val="WW-Index111"/>
    <w:basedOn w:val="Standard"/>
    <w:qFormat/>
    <w:rPr>
      <w:lang w:eastAsia="de-DE"/>
    </w:rPr>
  </w:style>
  <w:style w:type="paragraph" w:customStyle="1" w:styleId="Kopf-undFuzeile">
    <w:name w:val="Kopf- und Fußzeile"/>
    <w:basedOn w:val="Standard"/>
    <w:qFormat/>
  </w:style>
  <w:style w:type="paragraph" w:styleId="Kopfzeile">
    <w:name w:val="header"/>
    <w:basedOn w:val="Standard"/>
    <w:pPr>
      <w:tabs>
        <w:tab w:val="center" w:pos="4536"/>
        <w:tab w:val="right" w:pos="9072"/>
      </w:tabs>
    </w:pPr>
    <w:rPr>
      <w:lang w:eastAsia="de-DE"/>
    </w:rPr>
  </w:style>
  <w:style w:type="paragraph" w:styleId="Fuzeile">
    <w:name w:val="footer"/>
    <w:basedOn w:val="Standard"/>
    <w:pPr>
      <w:tabs>
        <w:tab w:val="center" w:pos="4536"/>
        <w:tab w:val="right" w:pos="9072"/>
      </w:tabs>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990</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aktuelles Buch / Textversion</dc:title>
  <dc:subject>Wie wir töten, wie wir sterben / Martin von Arndt</dc:subject>
  <dc:creator>mva</dc:creator>
  <cp:keywords>Wie wir töten Wie wir töten wie wir sterben Roman ars vivendi Krimi Politthriller Algerienkrieg 1961</cp:keywords>
  <dc:description>(c)Martin von Arndt 2021
www.vonarndt.de</dc:description>
  <cp:lastModifiedBy>Martin von Arndt</cp:lastModifiedBy>
  <cp:revision>7</cp:revision>
  <dcterms:created xsi:type="dcterms:W3CDTF">2025-08-21T16:48:00Z</dcterms:created>
  <dcterms:modified xsi:type="dcterms:W3CDTF">2025-08-21T16:54:00Z</dcterms:modified>
  <dc:language>de-DE</dc:language>
</cp:coreProperties>
</file>